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F3AEA" w14:paraId="152161F2" w14:textId="77777777" w:rsidTr="003F3AEA">
        <w:trPr>
          <w:trHeight w:val="588"/>
        </w:trPr>
        <w:tc>
          <w:tcPr>
            <w:tcW w:w="1838" w:type="dxa"/>
            <w:shd w:val="clear" w:color="auto" w:fill="auto"/>
            <w:vAlign w:val="center"/>
          </w:tcPr>
          <w:p w14:paraId="730AAB45" w14:textId="2FAD5255" w:rsidR="003F3AEA" w:rsidRPr="003F3AEA" w:rsidRDefault="003F3AEA" w:rsidP="0024121F">
            <w:pPr>
              <w:rPr>
                <w:b/>
              </w:rPr>
            </w:pPr>
            <w:r w:rsidRPr="003F3AEA">
              <w:rPr>
                <w:b/>
              </w:rPr>
              <w:t>Supplier Name</w:t>
            </w:r>
          </w:p>
        </w:tc>
        <w:tc>
          <w:tcPr>
            <w:tcW w:w="7512" w:type="dxa"/>
            <w:vAlign w:val="center"/>
          </w:tcPr>
          <w:p w14:paraId="7592A06D" w14:textId="11B03242" w:rsidR="003F3AEA" w:rsidRPr="003F3AEA" w:rsidRDefault="003F3AEA" w:rsidP="004B005D"/>
        </w:tc>
      </w:tr>
      <w:tr w:rsidR="003F3AEA" w14:paraId="3994FC52" w14:textId="77777777" w:rsidTr="003F3AEA">
        <w:trPr>
          <w:trHeight w:val="825"/>
        </w:trPr>
        <w:tc>
          <w:tcPr>
            <w:tcW w:w="1838" w:type="dxa"/>
            <w:shd w:val="clear" w:color="auto" w:fill="auto"/>
            <w:vAlign w:val="center"/>
          </w:tcPr>
          <w:p w14:paraId="3CB74D91" w14:textId="7ADE38FF" w:rsidR="003F3AEA" w:rsidRPr="003F3AEA" w:rsidRDefault="003F3AEA" w:rsidP="0024121F">
            <w:pPr>
              <w:rPr>
                <w:b/>
              </w:rPr>
            </w:pPr>
            <w:r w:rsidRPr="003F3AEA">
              <w:rPr>
                <w:b/>
              </w:rPr>
              <w:t>Supplier Scope</w:t>
            </w:r>
          </w:p>
        </w:tc>
        <w:tc>
          <w:tcPr>
            <w:tcW w:w="7512" w:type="dxa"/>
            <w:vAlign w:val="center"/>
          </w:tcPr>
          <w:p w14:paraId="5944A5AE" w14:textId="2F84D5E9" w:rsidR="003F3AEA" w:rsidRDefault="003F3AEA" w:rsidP="004B005D"/>
        </w:tc>
      </w:tr>
    </w:tbl>
    <w:p w14:paraId="3A809CC3" w14:textId="1126C2C9" w:rsidR="00D132B0" w:rsidRDefault="00D132B0" w:rsidP="00D132B0">
      <w:pPr>
        <w:spacing w:after="0" w:line="240" w:lineRule="auto"/>
      </w:pPr>
    </w:p>
    <w:p w14:paraId="170B417C" w14:textId="77777777" w:rsidR="00832CBB" w:rsidRDefault="00832CBB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04E" w14:paraId="31BF281C" w14:textId="77777777" w:rsidTr="00BB404E">
        <w:tc>
          <w:tcPr>
            <w:tcW w:w="9350" w:type="dxa"/>
            <w:shd w:val="clear" w:color="auto" w:fill="auto"/>
          </w:tcPr>
          <w:p w14:paraId="5DF5976D" w14:textId="70CFB9DF" w:rsidR="00BB404E" w:rsidRPr="00E0513D" w:rsidRDefault="003A7AE0" w:rsidP="00BC3D8A">
            <w:pPr>
              <w:rPr>
                <w:b/>
              </w:rPr>
            </w:pPr>
            <w:r>
              <w:rPr>
                <w:b/>
              </w:rPr>
              <w:t>PRE-QUALIFICATION</w:t>
            </w:r>
            <w:r w:rsidR="00BB404E" w:rsidRPr="00592A18">
              <w:rPr>
                <w:b/>
              </w:rPr>
              <w:t xml:space="preserve"> </w:t>
            </w:r>
            <w:r w:rsidR="00BB404E" w:rsidRPr="00592A18">
              <w:rPr>
                <w:i/>
                <w:sz w:val="16"/>
                <w:szCs w:val="16"/>
              </w:rPr>
              <w:t xml:space="preserve">(to be filled by </w:t>
            </w:r>
            <w:r w:rsidR="00BB404E">
              <w:rPr>
                <w:i/>
                <w:sz w:val="16"/>
                <w:szCs w:val="16"/>
              </w:rPr>
              <w:t>the Procurement Department)</w:t>
            </w:r>
          </w:p>
        </w:tc>
      </w:tr>
      <w:tr w:rsidR="00BB404E" w14:paraId="7E043B83" w14:textId="77777777" w:rsidTr="00832CBB">
        <w:trPr>
          <w:trHeight w:val="702"/>
        </w:trPr>
        <w:tc>
          <w:tcPr>
            <w:tcW w:w="9350" w:type="dxa"/>
          </w:tcPr>
          <w:p w14:paraId="0D728926" w14:textId="1B914079" w:rsidR="00832CBB" w:rsidRPr="00BB404E" w:rsidRDefault="00BB404E" w:rsidP="00832CBB">
            <w:pPr>
              <w:rPr>
                <w:i/>
                <w:sz w:val="18"/>
                <w:szCs w:val="18"/>
              </w:rPr>
            </w:pPr>
            <w:r w:rsidRPr="00BB404E">
              <w:rPr>
                <w:i/>
                <w:sz w:val="18"/>
                <w:szCs w:val="18"/>
              </w:rPr>
              <w:t xml:space="preserve">This supplier </w:t>
            </w:r>
            <w:r w:rsidR="003A7AE0">
              <w:rPr>
                <w:i/>
                <w:sz w:val="18"/>
                <w:szCs w:val="18"/>
              </w:rPr>
              <w:t>pre-qualification</w:t>
            </w:r>
            <w:r w:rsidRPr="00BB404E">
              <w:rPr>
                <w:i/>
                <w:sz w:val="18"/>
                <w:szCs w:val="18"/>
              </w:rPr>
              <w:t xml:space="preserve"> is to determine whether the supplier can provide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B404E">
              <w:rPr>
                <w:i/>
                <w:sz w:val="18"/>
                <w:szCs w:val="18"/>
              </w:rPr>
              <w:t xml:space="preserve">products or services in accordance with the requirement of the organization.  Information of the supplier can be collected from various </w:t>
            </w:r>
            <w:r>
              <w:rPr>
                <w:i/>
                <w:sz w:val="18"/>
                <w:szCs w:val="18"/>
              </w:rPr>
              <w:t xml:space="preserve">sources such as the internet, product reviews, </w:t>
            </w:r>
            <w:r w:rsidR="00832CBB">
              <w:rPr>
                <w:i/>
                <w:sz w:val="18"/>
                <w:szCs w:val="18"/>
              </w:rPr>
              <w:t>consultation with the supplier etc.  If required, the evaluator can contact the supplier to request documentation to further support the evaluation results.</w:t>
            </w:r>
          </w:p>
        </w:tc>
      </w:tr>
    </w:tbl>
    <w:p w14:paraId="7985B180" w14:textId="6839C659" w:rsidR="008901EA" w:rsidRDefault="008901EA" w:rsidP="00D132B0">
      <w:pPr>
        <w:spacing w:after="0" w:line="240" w:lineRule="auto"/>
      </w:pPr>
    </w:p>
    <w:p w14:paraId="0B7B382D" w14:textId="77777777" w:rsidR="00832CBB" w:rsidRDefault="00832CBB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6"/>
        <w:gridCol w:w="728"/>
        <w:gridCol w:w="761"/>
        <w:gridCol w:w="755"/>
      </w:tblGrid>
      <w:tr w:rsidR="003F3AEA" w14:paraId="6B5BCDBB" w14:textId="4CA2C7CE" w:rsidTr="003F3AEA">
        <w:tc>
          <w:tcPr>
            <w:tcW w:w="7106" w:type="dxa"/>
            <w:shd w:val="clear" w:color="auto" w:fill="auto"/>
          </w:tcPr>
          <w:p w14:paraId="74152C92" w14:textId="63104C42" w:rsidR="003F3AEA" w:rsidRPr="00C12F46" w:rsidRDefault="003F3AEA" w:rsidP="004B005D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8" w:type="dxa"/>
          </w:tcPr>
          <w:p w14:paraId="4913084D" w14:textId="53A5ABBE" w:rsidR="003F3AEA" w:rsidRDefault="003F3AEA" w:rsidP="008901E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61" w:type="dxa"/>
          </w:tcPr>
          <w:p w14:paraId="69CD8454" w14:textId="5EA06788" w:rsidR="003F3AEA" w:rsidRPr="00592A18" w:rsidRDefault="003F3AEA" w:rsidP="008901E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55" w:type="dxa"/>
          </w:tcPr>
          <w:p w14:paraId="1BD81656" w14:textId="65674B4F" w:rsidR="003F3AEA" w:rsidRPr="00592A18" w:rsidRDefault="003F3AEA" w:rsidP="008901EA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F3AEA" w14:paraId="58BFBA86" w14:textId="77777777" w:rsidTr="003F3AEA">
        <w:tc>
          <w:tcPr>
            <w:tcW w:w="7106" w:type="dxa"/>
            <w:shd w:val="clear" w:color="auto" w:fill="auto"/>
          </w:tcPr>
          <w:p w14:paraId="03E4D135" w14:textId="3D12780F" w:rsidR="003F3AEA" w:rsidRPr="00592A18" w:rsidRDefault="003F3AEA" w:rsidP="008901EA">
            <w:r>
              <w:rPr>
                <w:b/>
              </w:rPr>
              <w:t>Financials</w:t>
            </w:r>
            <w:r w:rsidRPr="00592A18">
              <w:rPr>
                <w:b/>
              </w:rPr>
              <w:t xml:space="preserve"> </w:t>
            </w:r>
          </w:p>
          <w:p w14:paraId="62F7DA99" w14:textId="448C6CEF" w:rsidR="003F3AEA" w:rsidRDefault="00BB404E" w:rsidP="008901E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Is there any evidence that would demonstrate this supplier is facing any financial difficulties that would have an impact on their ability to supply products or services? </w:t>
            </w:r>
          </w:p>
        </w:tc>
        <w:tc>
          <w:tcPr>
            <w:tcW w:w="728" w:type="dxa"/>
            <w:vAlign w:val="center"/>
          </w:tcPr>
          <w:p w14:paraId="751D8D0B" w14:textId="77777777" w:rsidR="003F3AEA" w:rsidRPr="00592A18" w:rsidRDefault="003F3AEA" w:rsidP="003F3AEA">
            <w:pPr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14:paraId="598A0F73" w14:textId="7A324211" w:rsidR="003F3AEA" w:rsidRPr="00592A18" w:rsidRDefault="003F3AEA" w:rsidP="003F3AEA">
            <w:pPr>
              <w:jc w:val="center"/>
              <w:rPr>
                <w:b/>
              </w:rPr>
            </w:pPr>
          </w:p>
        </w:tc>
        <w:tc>
          <w:tcPr>
            <w:tcW w:w="755" w:type="dxa"/>
            <w:vAlign w:val="center"/>
          </w:tcPr>
          <w:p w14:paraId="207F8FE3" w14:textId="77777777" w:rsidR="003F3AEA" w:rsidRPr="00592A18" w:rsidRDefault="003F3AEA" w:rsidP="003F3AEA">
            <w:pPr>
              <w:jc w:val="center"/>
              <w:rPr>
                <w:b/>
              </w:rPr>
            </w:pPr>
          </w:p>
        </w:tc>
      </w:tr>
      <w:tr w:rsidR="003F3AEA" w14:paraId="0F9E6944" w14:textId="4BDD9551" w:rsidTr="003F3AEA">
        <w:trPr>
          <w:trHeight w:val="754"/>
        </w:trPr>
        <w:tc>
          <w:tcPr>
            <w:tcW w:w="7106" w:type="dxa"/>
          </w:tcPr>
          <w:p w14:paraId="2D290ECF" w14:textId="0E1B016D" w:rsidR="003F3AEA" w:rsidRPr="00592A18" w:rsidRDefault="00BB404E" w:rsidP="008901EA">
            <w:r>
              <w:rPr>
                <w:b/>
              </w:rPr>
              <w:t>Operations</w:t>
            </w:r>
            <w:r w:rsidR="003F3AEA" w:rsidRPr="00592A18">
              <w:rPr>
                <w:b/>
              </w:rPr>
              <w:t xml:space="preserve"> </w:t>
            </w:r>
          </w:p>
          <w:p w14:paraId="3BF05FF7" w14:textId="00AFDDAF" w:rsidR="003F3AEA" w:rsidRPr="008F6C07" w:rsidRDefault="003F3AEA" w:rsidP="008901EA">
            <w:pPr>
              <w:rPr>
                <w:color w:val="FFFFFF" w:themeColor="background1"/>
              </w:rPr>
            </w:pPr>
            <w:r w:rsidRPr="00592A18">
              <w:rPr>
                <w:i/>
                <w:sz w:val="18"/>
                <w:szCs w:val="18"/>
              </w:rPr>
              <w:t>I</w:t>
            </w:r>
            <w:r w:rsidR="00BB404E">
              <w:rPr>
                <w:i/>
                <w:sz w:val="18"/>
                <w:szCs w:val="18"/>
              </w:rPr>
              <w:t>s there any evidence that the supplier lacks significant operational controls that would impact on their ability to supply products or services as per the organization’s requirement?</w:t>
            </w:r>
          </w:p>
        </w:tc>
        <w:tc>
          <w:tcPr>
            <w:tcW w:w="728" w:type="dxa"/>
            <w:vAlign w:val="center"/>
          </w:tcPr>
          <w:p w14:paraId="14127C62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03BA3DDF" w14:textId="09B8DD6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55" w:type="dxa"/>
            <w:vAlign w:val="center"/>
          </w:tcPr>
          <w:p w14:paraId="0EB6277C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</w:tr>
      <w:tr w:rsidR="003F3AEA" w14:paraId="3A039B06" w14:textId="77777777" w:rsidTr="003F3AEA">
        <w:trPr>
          <w:trHeight w:val="754"/>
        </w:trPr>
        <w:tc>
          <w:tcPr>
            <w:tcW w:w="7106" w:type="dxa"/>
          </w:tcPr>
          <w:p w14:paraId="7EC7CA37" w14:textId="5DD9F864" w:rsidR="003F3AEA" w:rsidRPr="00592A18" w:rsidRDefault="003F3AEA" w:rsidP="003F3AEA">
            <w:r>
              <w:rPr>
                <w:b/>
              </w:rPr>
              <w:t>Customer Service / Aftersales</w:t>
            </w:r>
            <w:r w:rsidRPr="00592A18">
              <w:rPr>
                <w:b/>
              </w:rPr>
              <w:t xml:space="preserve"> </w:t>
            </w:r>
          </w:p>
          <w:p w14:paraId="6A12466C" w14:textId="6D449CA0" w:rsidR="003F3AEA" w:rsidRPr="009C7201" w:rsidRDefault="009C7201" w:rsidP="003F3A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Is there any evidence that this </w:t>
            </w:r>
            <w:r w:rsidR="00BB404E">
              <w:rPr>
                <w:i/>
                <w:sz w:val="18"/>
                <w:szCs w:val="18"/>
              </w:rPr>
              <w:t xml:space="preserve">supplier </w:t>
            </w:r>
            <w:r>
              <w:rPr>
                <w:i/>
                <w:sz w:val="18"/>
                <w:szCs w:val="18"/>
              </w:rPr>
              <w:t xml:space="preserve">lacks in </w:t>
            </w:r>
            <w:r w:rsidR="00BB404E">
              <w:rPr>
                <w:i/>
                <w:sz w:val="18"/>
                <w:szCs w:val="18"/>
              </w:rPr>
              <w:t xml:space="preserve">aftersales support </w:t>
            </w:r>
            <w:r>
              <w:rPr>
                <w:i/>
                <w:sz w:val="18"/>
                <w:szCs w:val="18"/>
              </w:rPr>
              <w:t>or the ability to provide adequate customer support</w:t>
            </w:r>
            <w:r w:rsidR="00832CBB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728" w:type="dxa"/>
            <w:vAlign w:val="center"/>
          </w:tcPr>
          <w:p w14:paraId="6F51549E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5A248EE6" w14:textId="243A656A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55" w:type="dxa"/>
            <w:vAlign w:val="center"/>
          </w:tcPr>
          <w:p w14:paraId="478AFC73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</w:tr>
      <w:tr w:rsidR="00832CBB" w14:paraId="5F93B3C7" w14:textId="77777777" w:rsidTr="003F3AEA">
        <w:trPr>
          <w:trHeight w:val="754"/>
        </w:trPr>
        <w:tc>
          <w:tcPr>
            <w:tcW w:w="7106" w:type="dxa"/>
          </w:tcPr>
          <w:p w14:paraId="6FBA43C4" w14:textId="58916B9B" w:rsidR="00832CBB" w:rsidRPr="00592A18" w:rsidRDefault="00832CBB" w:rsidP="00832CBB">
            <w:r>
              <w:rPr>
                <w:b/>
              </w:rPr>
              <w:t xml:space="preserve">Others </w:t>
            </w:r>
            <w:r w:rsidRPr="00592A18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add any additional requirements here)</w:t>
            </w:r>
          </w:p>
          <w:p w14:paraId="1EF4A85B" w14:textId="19702E6F" w:rsidR="00832CBB" w:rsidRDefault="00832CBB" w:rsidP="003F3AEA">
            <w:pPr>
              <w:rPr>
                <w:b/>
              </w:rPr>
            </w:pPr>
          </w:p>
        </w:tc>
        <w:tc>
          <w:tcPr>
            <w:tcW w:w="728" w:type="dxa"/>
            <w:vAlign w:val="center"/>
          </w:tcPr>
          <w:p w14:paraId="2AEB614F" w14:textId="77777777" w:rsidR="00832CBB" w:rsidRPr="008F6C07" w:rsidRDefault="00832CBB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2300DAA9" w14:textId="77777777" w:rsidR="00832CBB" w:rsidRPr="008F6C07" w:rsidRDefault="00832CBB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55" w:type="dxa"/>
            <w:vAlign w:val="center"/>
          </w:tcPr>
          <w:p w14:paraId="72D13964" w14:textId="77777777" w:rsidR="00832CBB" w:rsidRPr="008F6C07" w:rsidRDefault="00832CBB" w:rsidP="003F3AEA">
            <w:pPr>
              <w:jc w:val="center"/>
              <w:rPr>
                <w:color w:val="FFFFFF" w:themeColor="background1"/>
              </w:rPr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44"/>
        <w:gridCol w:w="2420"/>
        <w:gridCol w:w="402"/>
        <w:gridCol w:w="851"/>
        <w:gridCol w:w="991"/>
      </w:tblGrid>
      <w:tr w:rsidR="00D132B0" w14:paraId="0A404CD9" w14:textId="77777777" w:rsidTr="00832CBB">
        <w:tc>
          <w:tcPr>
            <w:tcW w:w="9350" w:type="dxa"/>
            <w:gridSpan w:val="6"/>
            <w:shd w:val="clear" w:color="auto" w:fill="auto"/>
          </w:tcPr>
          <w:p w14:paraId="00375DAE" w14:textId="1A8C9552" w:rsidR="00832CBB" w:rsidRDefault="003A7AE0" w:rsidP="004B005D">
            <w:pPr>
              <w:rPr>
                <w:b/>
              </w:rPr>
            </w:pPr>
            <w:r>
              <w:rPr>
                <w:b/>
              </w:rPr>
              <w:t>Pre-Qualification</w:t>
            </w:r>
            <w:r w:rsidR="00832CBB">
              <w:rPr>
                <w:b/>
              </w:rPr>
              <w:t xml:space="preserve"> Results</w:t>
            </w:r>
          </w:p>
          <w:p w14:paraId="76FAB009" w14:textId="0DE087DE" w:rsidR="00D132B0" w:rsidRPr="00E0513D" w:rsidRDefault="00D132B0" w:rsidP="004B005D">
            <w:pPr>
              <w:rPr>
                <w:b/>
              </w:rPr>
            </w:pPr>
            <w:r w:rsidRPr="00592A18">
              <w:rPr>
                <w:i/>
                <w:sz w:val="16"/>
                <w:szCs w:val="16"/>
              </w:rPr>
              <w:t>(</w:t>
            </w:r>
            <w:r w:rsidR="00184961">
              <w:rPr>
                <w:i/>
                <w:sz w:val="16"/>
                <w:szCs w:val="16"/>
              </w:rPr>
              <w:t>to be filled by the Procurement Department</w:t>
            </w:r>
            <w:r w:rsidR="008901EA">
              <w:rPr>
                <w:i/>
                <w:sz w:val="16"/>
                <w:szCs w:val="16"/>
              </w:rPr>
              <w:t>)</w:t>
            </w:r>
          </w:p>
        </w:tc>
      </w:tr>
      <w:tr w:rsidR="00832CBB" w14:paraId="69342EF5" w14:textId="77777777" w:rsidTr="00184961">
        <w:trPr>
          <w:trHeight w:val="221"/>
        </w:trPr>
        <w:tc>
          <w:tcPr>
            <w:tcW w:w="7508" w:type="dxa"/>
            <w:gridSpan w:val="4"/>
            <w:vMerge w:val="restart"/>
            <w:tcBorders>
              <w:top w:val="nil"/>
            </w:tcBorders>
            <w:vAlign w:val="center"/>
          </w:tcPr>
          <w:p w14:paraId="0A56D1E0" w14:textId="66F27B3B" w:rsidR="00832CBB" w:rsidRPr="003A7AE0" w:rsidRDefault="00832CBB" w:rsidP="00832CBB">
            <w:pPr>
              <w:rPr>
                <w:i/>
              </w:rPr>
            </w:pPr>
            <w:r w:rsidRPr="003A7AE0">
              <w:rPr>
                <w:i/>
              </w:rPr>
              <w:t>Has the supplier passed the supplier prequalification</w:t>
            </w:r>
            <w:r w:rsidR="00184961" w:rsidRPr="003A7AE0">
              <w:rPr>
                <w:i/>
              </w:rPr>
              <w:t>?</w:t>
            </w:r>
          </w:p>
        </w:tc>
        <w:tc>
          <w:tcPr>
            <w:tcW w:w="851" w:type="dxa"/>
            <w:vAlign w:val="center"/>
          </w:tcPr>
          <w:p w14:paraId="3FBE445C" w14:textId="39188B47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No</w:t>
            </w:r>
          </w:p>
        </w:tc>
        <w:tc>
          <w:tcPr>
            <w:tcW w:w="991" w:type="dxa"/>
            <w:vAlign w:val="center"/>
          </w:tcPr>
          <w:p w14:paraId="5FD0D2CF" w14:textId="7D413325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Yes</w:t>
            </w:r>
          </w:p>
        </w:tc>
      </w:tr>
      <w:tr w:rsidR="00832CBB" w14:paraId="06E9C703" w14:textId="77777777" w:rsidTr="00184961">
        <w:trPr>
          <w:trHeight w:val="523"/>
        </w:trPr>
        <w:tc>
          <w:tcPr>
            <w:tcW w:w="7508" w:type="dxa"/>
            <w:gridSpan w:val="4"/>
            <w:vMerge/>
            <w:vAlign w:val="center"/>
          </w:tcPr>
          <w:p w14:paraId="0CA49F0E" w14:textId="77777777" w:rsidR="00832CBB" w:rsidRDefault="00832CBB" w:rsidP="00832CBB"/>
        </w:tc>
        <w:tc>
          <w:tcPr>
            <w:tcW w:w="851" w:type="dxa"/>
            <w:vAlign w:val="center"/>
          </w:tcPr>
          <w:p w14:paraId="2276848D" w14:textId="77777777" w:rsidR="00832CBB" w:rsidRDefault="00832CBB" w:rsidP="00832CBB">
            <w:pPr>
              <w:jc w:val="center"/>
            </w:pPr>
          </w:p>
        </w:tc>
        <w:tc>
          <w:tcPr>
            <w:tcW w:w="991" w:type="dxa"/>
            <w:vAlign w:val="center"/>
          </w:tcPr>
          <w:p w14:paraId="37C7CBFF" w14:textId="77777777" w:rsidR="00832CBB" w:rsidRDefault="00832CBB" w:rsidP="00832CBB">
            <w:pPr>
              <w:jc w:val="center"/>
            </w:pPr>
          </w:p>
        </w:tc>
      </w:tr>
      <w:tr w:rsidR="00832CBB" w14:paraId="2D7480B1" w14:textId="77777777" w:rsidTr="00184961">
        <w:trPr>
          <w:trHeight w:val="1253"/>
        </w:trPr>
        <w:tc>
          <w:tcPr>
            <w:tcW w:w="9350" w:type="dxa"/>
            <w:gridSpan w:val="6"/>
          </w:tcPr>
          <w:p w14:paraId="242B7D4D" w14:textId="6F5B2839" w:rsidR="00832CBB" w:rsidRDefault="00832CBB" w:rsidP="00832CBB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592A18">
              <w:rPr>
                <w:b/>
              </w:rPr>
              <w:t xml:space="preserve"> </w:t>
            </w:r>
          </w:p>
          <w:p w14:paraId="0C622D67" w14:textId="6CF4E2DF" w:rsidR="00832CBB" w:rsidRDefault="00832CBB" w:rsidP="004B005D"/>
        </w:tc>
      </w:tr>
      <w:tr w:rsidR="003F3AEA" w14:paraId="18E2362B" w14:textId="77777777" w:rsidTr="00832CBB">
        <w:trPr>
          <w:trHeight w:val="70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4C17" w14:textId="45CDD739" w:rsidR="00D132B0" w:rsidRPr="005E1A56" w:rsidRDefault="003F3AEA" w:rsidP="004B005D">
            <w:pPr>
              <w:rPr>
                <w:b/>
              </w:rPr>
            </w:pPr>
            <w:r>
              <w:rPr>
                <w:b/>
              </w:rPr>
              <w:t>Evaluator Designation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7AD73A47" w:rsidR="00D132B0" w:rsidRPr="00592A18" w:rsidRDefault="003F3AEA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D132B0" w:rsidRPr="00592A18">
              <w:rPr>
                <w:b/>
              </w:rPr>
              <w:t xml:space="preserve"> Date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3A7AE0" w:rsidRDefault="00D132B0" w:rsidP="004B005D"/>
        </w:tc>
      </w:tr>
    </w:tbl>
    <w:p w14:paraId="115E9984" w14:textId="5C6FA877" w:rsidR="00D132B0" w:rsidRDefault="00D132B0" w:rsidP="00D132B0"/>
    <w:p w14:paraId="429EBCFD" w14:textId="77777777" w:rsidR="00832CBB" w:rsidRDefault="00832CBB" w:rsidP="00D132B0"/>
    <w:sectPr w:rsidR="0083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9B46" w14:textId="77777777" w:rsidR="00E46AF6" w:rsidRDefault="00E46AF6" w:rsidP="00D132B0">
      <w:pPr>
        <w:spacing w:after="0" w:line="240" w:lineRule="auto"/>
      </w:pPr>
      <w:r>
        <w:separator/>
      </w:r>
    </w:p>
  </w:endnote>
  <w:endnote w:type="continuationSeparator" w:id="0">
    <w:p w14:paraId="252020A4" w14:textId="77777777" w:rsidR="00E46AF6" w:rsidRDefault="00E46AF6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D146" w14:textId="77777777" w:rsidR="0034160C" w:rsidRDefault="00341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3E67FD16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F02EF2">
            <w:rPr>
              <w:rFonts w:ascii="Arial" w:hAnsi="Arial" w:cs="Arial"/>
              <w:sz w:val="12"/>
              <w:szCs w:val="12"/>
            </w:rPr>
            <w:t>010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697B" w14:textId="77777777" w:rsidR="0034160C" w:rsidRDefault="0034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A65B" w14:textId="77777777" w:rsidR="00E46AF6" w:rsidRDefault="00E46AF6" w:rsidP="00D132B0">
      <w:pPr>
        <w:spacing w:after="0" w:line="240" w:lineRule="auto"/>
      </w:pPr>
      <w:r>
        <w:separator/>
      </w:r>
    </w:p>
  </w:footnote>
  <w:footnote w:type="continuationSeparator" w:id="0">
    <w:p w14:paraId="1A24583C" w14:textId="77777777" w:rsidR="00E46AF6" w:rsidRDefault="00E46AF6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2B5E" w14:textId="77777777" w:rsidR="0034160C" w:rsidRDefault="00341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577F960E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39F88B2B">
          <wp:simplePos x="0" y="0"/>
          <wp:positionH relativeFrom="column">
            <wp:posOffset>-402590</wp:posOffset>
          </wp:positionH>
          <wp:positionV relativeFrom="paragraph">
            <wp:posOffset>-280035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1EA">
      <w:rPr>
        <w:rFonts w:ascii="Arial Black" w:hAnsi="Arial Black" w:cs="Arial"/>
      </w:rPr>
      <w:t>SUPPLIER PREQUALIFICATION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2538" w14:textId="77777777" w:rsidR="0034160C" w:rsidRDefault="00341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184961"/>
    <w:rsid w:val="0024121F"/>
    <w:rsid w:val="00314BA3"/>
    <w:rsid w:val="0034160C"/>
    <w:rsid w:val="003677E2"/>
    <w:rsid w:val="003A7AE0"/>
    <w:rsid w:val="003F3AEA"/>
    <w:rsid w:val="00592A18"/>
    <w:rsid w:val="007E12BC"/>
    <w:rsid w:val="00832CBB"/>
    <w:rsid w:val="008901EA"/>
    <w:rsid w:val="008F6C07"/>
    <w:rsid w:val="00953AE5"/>
    <w:rsid w:val="00955143"/>
    <w:rsid w:val="00970C28"/>
    <w:rsid w:val="009B5411"/>
    <w:rsid w:val="009C7201"/>
    <w:rsid w:val="00BB404E"/>
    <w:rsid w:val="00CF7E3D"/>
    <w:rsid w:val="00D132B0"/>
    <w:rsid w:val="00D5068E"/>
    <w:rsid w:val="00DE23D9"/>
    <w:rsid w:val="00E46AF6"/>
    <w:rsid w:val="00F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Prequalification</vt:lpstr>
    </vt:vector>
  </TitlesOfParts>
  <Manager>Consult3A</Manager>
  <Company>Consult3A</Company>
  <LinksUpToDate>false</LinksUpToDate>
  <CharactersWithSpaces>1338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Prequalification</dc:title>
  <dc:subject>Supplier Prequalification</dc:subject>
  <dc:creator>info@consult3a.com</dc:creator>
  <cp:keywords>ISO 9001, Quality Management System</cp:keywords>
  <dc:description>Version 00</dc:description>
  <cp:lastModifiedBy>Kareem Adra</cp:lastModifiedBy>
  <cp:revision>12</cp:revision>
  <dcterms:created xsi:type="dcterms:W3CDTF">2019-05-10T19:55:00Z</dcterms:created>
  <dcterms:modified xsi:type="dcterms:W3CDTF">2020-09-19T08:37:00Z</dcterms:modified>
  <cp:category>Management System Form</cp:category>
</cp:coreProperties>
</file>